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EA298" w14:textId="77777777" w:rsidR="00E13C26" w:rsidRDefault="00E13C26">
      <w:r>
        <w:rPr>
          <w:rFonts w:ascii="Calibri" w:eastAsia="Times New Roman" w:hAnsi="Calibri" w:cs="Times New Roman"/>
          <w:noProof/>
          <w:color w:val="000000"/>
        </w:rPr>
        <w:drawing>
          <wp:anchor distT="0" distB="0" distL="114300" distR="114300" simplePos="0" relativeHeight="251659264" behindDoc="0" locked="0" layoutInCell="1" allowOverlap="1" wp14:anchorId="136B2A65" wp14:editId="11462B5A">
            <wp:simplePos x="0" y="0"/>
            <wp:positionH relativeFrom="column">
              <wp:posOffset>789940</wp:posOffset>
            </wp:positionH>
            <wp:positionV relativeFrom="paragraph">
              <wp:posOffset>-220345</wp:posOffset>
            </wp:positionV>
            <wp:extent cx="4257675" cy="6953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57675" cy="695325"/>
                    </a:xfrm>
                    <a:prstGeom prst="rect">
                      <a:avLst/>
                    </a:prstGeom>
                  </pic:spPr>
                </pic:pic>
              </a:graphicData>
            </a:graphic>
            <wp14:sizeRelH relativeFrom="page">
              <wp14:pctWidth>0</wp14:pctWidth>
            </wp14:sizeRelH>
            <wp14:sizeRelV relativeFrom="page">
              <wp14:pctHeight>0</wp14:pctHeight>
            </wp14:sizeRelV>
          </wp:anchor>
        </w:drawing>
      </w:r>
    </w:p>
    <w:p w14:paraId="58D07789" w14:textId="77777777" w:rsidR="00E13C26" w:rsidRDefault="00E13C26"/>
    <w:p w14:paraId="58A2CDCA" w14:textId="3CF7A311" w:rsidR="00E13C26" w:rsidRPr="009D0F7B" w:rsidRDefault="00E13C26" w:rsidP="009D0F7B">
      <w:pPr>
        <w:jc w:val="center"/>
        <w:rPr>
          <w:sz w:val="32"/>
          <w:szCs w:val="32"/>
          <w:u w:val="single"/>
        </w:rPr>
      </w:pPr>
      <w:r w:rsidRPr="00412F8E">
        <w:rPr>
          <w:sz w:val="32"/>
          <w:szCs w:val="32"/>
          <w:u w:val="single"/>
        </w:rPr>
        <w:t>Subscription Form</w:t>
      </w:r>
    </w:p>
    <w:p w14:paraId="78BDA15C" w14:textId="77777777" w:rsidR="00E13C26" w:rsidRDefault="00E13C26"/>
    <w:p w14:paraId="537520F8" w14:textId="77777777" w:rsidR="009D0F7B" w:rsidRPr="00E13C26" w:rsidRDefault="009D0F7B" w:rsidP="009D0F7B">
      <w:pPr>
        <w:jc w:val="both"/>
      </w:pPr>
      <w:r w:rsidRPr="00E13C26">
        <w:rPr>
          <w:i/>
        </w:rPr>
        <w:t>Edible Nutmeg</w:t>
      </w:r>
      <w:r w:rsidRPr="00E13C26">
        <w:t xml:space="preserve"> is a seasonal publication, dedicated to supporting and promoting the local food and farm community of western Connecticut. Whether it's current events, seasonal recipes, or stories on local food people, products, and establishments, </w:t>
      </w:r>
      <w:r w:rsidRPr="00E13C26">
        <w:rPr>
          <w:i/>
          <w:iCs/>
        </w:rPr>
        <w:t>Edible Nutmeg</w:t>
      </w:r>
      <w:r w:rsidRPr="00E13C26">
        <w:rPr>
          <w:iCs/>
        </w:rPr>
        <w:t xml:space="preserve"> </w:t>
      </w:r>
      <w:r w:rsidRPr="00E13C26">
        <w:t>endeavors to bring the best of Connecticut's regional food community to the reader.</w:t>
      </w:r>
    </w:p>
    <w:p w14:paraId="4F7EADF9" w14:textId="77777777" w:rsidR="009D0F7B" w:rsidRDefault="009D0F7B" w:rsidP="009D0F7B">
      <w:pPr>
        <w:jc w:val="both"/>
      </w:pPr>
      <w:r w:rsidRPr="00E13C26">
        <w:t>Subscribers provide the foundation for that mission and are crucial to its success, so thank you for your support! New issues are delivered directly to subscribers' doors, prior to their arrival in stores and new</w:t>
      </w:r>
      <w:r>
        <w:t>s</w:t>
      </w:r>
      <w:r w:rsidRPr="00E13C26">
        <w:t>stands.</w:t>
      </w:r>
    </w:p>
    <w:p w14:paraId="5A6EE331" w14:textId="77777777" w:rsidR="009D0F7B" w:rsidRPr="00E13C26" w:rsidRDefault="009D0F7B" w:rsidP="009D0F7B">
      <w:pPr>
        <w:jc w:val="both"/>
      </w:pPr>
    </w:p>
    <w:p w14:paraId="49E5082B" w14:textId="77777777" w:rsidR="009D0F7B" w:rsidRPr="00105F46" w:rsidRDefault="009D0F7B" w:rsidP="009D0F7B">
      <w:pPr>
        <w:pStyle w:val="NoSpacing"/>
        <w:jc w:val="center"/>
        <w:rPr>
          <w:sz w:val="28"/>
          <w:szCs w:val="28"/>
        </w:rPr>
      </w:pPr>
      <w:r w:rsidRPr="00105F46">
        <w:rPr>
          <w:b/>
          <w:bCs/>
          <w:sz w:val="28"/>
          <w:szCs w:val="28"/>
        </w:rPr>
        <w:t xml:space="preserve">Spring issue </w:t>
      </w:r>
      <w:r>
        <w:rPr>
          <w:sz w:val="28"/>
          <w:szCs w:val="28"/>
        </w:rPr>
        <w:t xml:space="preserve">- arrives late </w:t>
      </w:r>
      <w:r w:rsidRPr="00105F46">
        <w:rPr>
          <w:sz w:val="28"/>
          <w:szCs w:val="28"/>
        </w:rPr>
        <w:t>March</w:t>
      </w:r>
    </w:p>
    <w:p w14:paraId="727723DF" w14:textId="77777777" w:rsidR="009D0F7B" w:rsidRPr="00105F46" w:rsidRDefault="009D0F7B" w:rsidP="009D0F7B">
      <w:pPr>
        <w:pStyle w:val="NoSpacing"/>
        <w:jc w:val="center"/>
        <w:rPr>
          <w:sz w:val="28"/>
          <w:szCs w:val="28"/>
        </w:rPr>
      </w:pPr>
      <w:r w:rsidRPr="00105F46">
        <w:rPr>
          <w:b/>
          <w:bCs/>
          <w:sz w:val="28"/>
          <w:szCs w:val="28"/>
        </w:rPr>
        <w:t xml:space="preserve">Summer issue </w:t>
      </w:r>
      <w:r>
        <w:rPr>
          <w:sz w:val="28"/>
          <w:szCs w:val="28"/>
        </w:rPr>
        <w:t xml:space="preserve">- arrives late </w:t>
      </w:r>
      <w:r w:rsidRPr="00105F46">
        <w:rPr>
          <w:sz w:val="28"/>
          <w:szCs w:val="28"/>
        </w:rPr>
        <w:t>June</w:t>
      </w:r>
    </w:p>
    <w:p w14:paraId="5FA82270" w14:textId="77777777" w:rsidR="009D0F7B" w:rsidRPr="00105F46" w:rsidRDefault="009D0F7B" w:rsidP="009D0F7B">
      <w:pPr>
        <w:pStyle w:val="NoSpacing"/>
        <w:jc w:val="center"/>
        <w:rPr>
          <w:sz w:val="28"/>
          <w:szCs w:val="28"/>
        </w:rPr>
      </w:pPr>
      <w:r w:rsidRPr="00105F46">
        <w:rPr>
          <w:b/>
          <w:bCs/>
          <w:sz w:val="28"/>
          <w:szCs w:val="28"/>
        </w:rPr>
        <w:t xml:space="preserve">Fall issue </w:t>
      </w:r>
      <w:r>
        <w:rPr>
          <w:sz w:val="28"/>
          <w:szCs w:val="28"/>
        </w:rPr>
        <w:t xml:space="preserve">- arrives late </w:t>
      </w:r>
      <w:r w:rsidRPr="00105F46">
        <w:rPr>
          <w:sz w:val="28"/>
          <w:szCs w:val="28"/>
        </w:rPr>
        <w:t>September</w:t>
      </w:r>
    </w:p>
    <w:p w14:paraId="44CE1B9B" w14:textId="76FC0278" w:rsidR="00E13C26" w:rsidRPr="009D0F7B" w:rsidRDefault="009D0F7B" w:rsidP="009D0F7B">
      <w:pPr>
        <w:pStyle w:val="NoSpacing"/>
        <w:jc w:val="center"/>
        <w:rPr>
          <w:sz w:val="28"/>
          <w:szCs w:val="28"/>
        </w:rPr>
      </w:pPr>
      <w:r w:rsidRPr="00105F46">
        <w:rPr>
          <w:b/>
          <w:bCs/>
          <w:sz w:val="28"/>
          <w:szCs w:val="28"/>
        </w:rPr>
        <w:t xml:space="preserve">Winter issue </w:t>
      </w:r>
      <w:r>
        <w:rPr>
          <w:sz w:val="28"/>
          <w:szCs w:val="28"/>
        </w:rPr>
        <w:t>- arrives early December</w:t>
      </w:r>
    </w:p>
    <w:p w14:paraId="03378531" w14:textId="77777777" w:rsidR="009D0F7B" w:rsidRDefault="009D0F7B">
      <w:bookmarkStart w:id="0" w:name="_GoBack"/>
      <w:bookmarkEnd w:id="0"/>
    </w:p>
    <w:p w14:paraId="29353FF7" w14:textId="77777777" w:rsidR="00E13C26" w:rsidRPr="007840AA" w:rsidRDefault="00105F46" w:rsidP="007840AA">
      <w:pPr>
        <w:jc w:val="center"/>
        <w:rPr>
          <w:sz w:val="24"/>
          <w:szCs w:val="24"/>
        </w:rPr>
      </w:pPr>
      <w:r w:rsidRPr="007840AA">
        <w:rPr>
          <w:sz w:val="24"/>
          <w:szCs w:val="24"/>
        </w:rPr>
        <w:t xml:space="preserve">A one year subscription is $28. Checks should be made out to </w:t>
      </w:r>
      <w:r w:rsidRPr="00976D93">
        <w:rPr>
          <w:i/>
          <w:sz w:val="24"/>
          <w:szCs w:val="24"/>
        </w:rPr>
        <w:t>Edible Nutmeg</w:t>
      </w:r>
      <w:r w:rsidRPr="007840AA">
        <w:rPr>
          <w:sz w:val="24"/>
          <w:szCs w:val="24"/>
        </w:rPr>
        <w:t xml:space="preserve"> and mailed to:</w:t>
      </w:r>
    </w:p>
    <w:p w14:paraId="7AE3BF4B" w14:textId="77777777" w:rsidR="00105F46" w:rsidRPr="007840AA" w:rsidRDefault="00105F46" w:rsidP="007840AA">
      <w:pPr>
        <w:pStyle w:val="NoSpacing"/>
        <w:jc w:val="center"/>
        <w:rPr>
          <w:b/>
          <w:sz w:val="28"/>
          <w:szCs w:val="28"/>
        </w:rPr>
      </w:pPr>
      <w:r w:rsidRPr="007840AA">
        <w:rPr>
          <w:b/>
          <w:sz w:val="28"/>
          <w:szCs w:val="28"/>
        </w:rPr>
        <w:t>Edible Nutmeg</w:t>
      </w:r>
    </w:p>
    <w:p w14:paraId="0E2E94EA" w14:textId="77777777" w:rsidR="00105F46" w:rsidRPr="007840AA" w:rsidRDefault="002D49D9" w:rsidP="007840AA">
      <w:pPr>
        <w:pStyle w:val="NoSpacing"/>
        <w:jc w:val="center"/>
        <w:rPr>
          <w:b/>
          <w:sz w:val="28"/>
          <w:szCs w:val="28"/>
        </w:rPr>
      </w:pPr>
      <w:r>
        <w:rPr>
          <w:b/>
          <w:sz w:val="28"/>
          <w:szCs w:val="28"/>
        </w:rPr>
        <w:t>P.O.</w:t>
      </w:r>
      <w:r w:rsidR="00105F46" w:rsidRPr="007840AA">
        <w:rPr>
          <w:b/>
          <w:sz w:val="28"/>
          <w:szCs w:val="28"/>
        </w:rPr>
        <w:t xml:space="preserve"> Box 222</w:t>
      </w:r>
    </w:p>
    <w:p w14:paraId="2C138171" w14:textId="77777777" w:rsidR="00105F46" w:rsidRDefault="00105F46" w:rsidP="007840AA">
      <w:pPr>
        <w:pStyle w:val="NoSpacing"/>
        <w:jc w:val="center"/>
        <w:rPr>
          <w:b/>
          <w:sz w:val="28"/>
          <w:szCs w:val="28"/>
        </w:rPr>
      </w:pPr>
      <w:r w:rsidRPr="007840AA">
        <w:rPr>
          <w:b/>
          <w:sz w:val="28"/>
          <w:szCs w:val="28"/>
        </w:rPr>
        <w:t>Washington Depot, CT 06794</w:t>
      </w:r>
    </w:p>
    <w:p w14:paraId="03599AE1" w14:textId="77777777" w:rsidR="00412F8E" w:rsidRPr="007840AA" w:rsidRDefault="00412F8E" w:rsidP="007840AA">
      <w:pPr>
        <w:pStyle w:val="NoSpacing"/>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0546F5" w14:paraId="76A18B3E" w14:textId="77777777" w:rsidTr="00105F46">
        <w:trPr>
          <w:trHeight w:val="521"/>
        </w:trPr>
        <w:tc>
          <w:tcPr>
            <w:tcW w:w="1908" w:type="dxa"/>
            <w:vAlign w:val="bottom"/>
          </w:tcPr>
          <w:p w14:paraId="29EF3FCA" w14:textId="77777777" w:rsidR="009D0F7B" w:rsidRDefault="009D0F7B" w:rsidP="009D0F7B">
            <w:pPr>
              <w:rPr>
                <w:sz w:val="28"/>
                <w:szCs w:val="28"/>
              </w:rPr>
            </w:pPr>
          </w:p>
          <w:p w14:paraId="1F976083" w14:textId="77777777" w:rsidR="000546F5" w:rsidRPr="000546F5" w:rsidRDefault="000546F5" w:rsidP="000546F5">
            <w:pPr>
              <w:jc w:val="right"/>
              <w:rPr>
                <w:sz w:val="28"/>
                <w:szCs w:val="28"/>
              </w:rPr>
            </w:pPr>
            <w:r w:rsidRPr="000546F5">
              <w:rPr>
                <w:sz w:val="28"/>
                <w:szCs w:val="28"/>
              </w:rPr>
              <w:t>Name</w:t>
            </w:r>
          </w:p>
        </w:tc>
        <w:tc>
          <w:tcPr>
            <w:tcW w:w="7668" w:type="dxa"/>
            <w:tcBorders>
              <w:bottom w:val="single" w:sz="4" w:space="0" w:color="auto"/>
            </w:tcBorders>
          </w:tcPr>
          <w:p w14:paraId="0D5E52F7" w14:textId="77777777" w:rsidR="000546F5" w:rsidRDefault="000546F5"/>
        </w:tc>
      </w:tr>
      <w:tr w:rsidR="000546F5" w14:paraId="08E724CF" w14:textId="77777777" w:rsidTr="00105F46">
        <w:trPr>
          <w:trHeight w:val="530"/>
        </w:trPr>
        <w:tc>
          <w:tcPr>
            <w:tcW w:w="1908" w:type="dxa"/>
            <w:vAlign w:val="bottom"/>
          </w:tcPr>
          <w:p w14:paraId="2E67CE99" w14:textId="77777777" w:rsidR="000546F5" w:rsidRPr="000546F5" w:rsidRDefault="000546F5" w:rsidP="000546F5">
            <w:pPr>
              <w:jc w:val="right"/>
              <w:rPr>
                <w:sz w:val="28"/>
                <w:szCs w:val="28"/>
              </w:rPr>
            </w:pPr>
            <w:r w:rsidRPr="000546F5">
              <w:rPr>
                <w:sz w:val="28"/>
                <w:szCs w:val="28"/>
              </w:rPr>
              <w:t>Address</w:t>
            </w:r>
          </w:p>
        </w:tc>
        <w:tc>
          <w:tcPr>
            <w:tcW w:w="7668" w:type="dxa"/>
            <w:tcBorders>
              <w:top w:val="single" w:sz="4" w:space="0" w:color="auto"/>
              <w:bottom w:val="single" w:sz="4" w:space="0" w:color="auto"/>
            </w:tcBorders>
          </w:tcPr>
          <w:p w14:paraId="5F6D8DD6" w14:textId="77777777" w:rsidR="000546F5" w:rsidRDefault="000546F5"/>
        </w:tc>
      </w:tr>
      <w:tr w:rsidR="000546F5" w14:paraId="43F94B1E" w14:textId="77777777" w:rsidTr="00105F46">
        <w:trPr>
          <w:trHeight w:val="521"/>
        </w:trPr>
        <w:tc>
          <w:tcPr>
            <w:tcW w:w="1908" w:type="dxa"/>
            <w:vAlign w:val="bottom"/>
          </w:tcPr>
          <w:p w14:paraId="267BD96A" w14:textId="77777777" w:rsidR="000546F5" w:rsidRPr="000546F5" w:rsidRDefault="000546F5" w:rsidP="000546F5">
            <w:pPr>
              <w:jc w:val="right"/>
              <w:rPr>
                <w:sz w:val="28"/>
                <w:szCs w:val="28"/>
              </w:rPr>
            </w:pPr>
            <w:r w:rsidRPr="000546F5">
              <w:rPr>
                <w:sz w:val="28"/>
                <w:szCs w:val="28"/>
              </w:rPr>
              <w:t>City</w:t>
            </w:r>
          </w:p>
        </w:tc>
        <w:tc>
          <w:tcPr>
            <w:tcW w:w="7668" w:type="dxa"/>
            <w:tcBorders>
              <w:top w:val="single" w:sz="4" w:space="0" w:color="auto"/>
              <w:bottom w:val="single" w:sz="4" w:space="0" w:color="auto"/>
            </w:tcBorders>
          </w:tcPr>
          <w:p w14:paraId="78508488" w14:textId="77777777" w:rsidR="000546F5" w:rsidRDefault="000546F5"/>
        </w:tc>
      </w:tr>
      <w:tr w:rsidR="000546F5" w14:paraId="750C5526" w14:textId="77777777" w:rsidTr="00105F46">
        <w:trPr>
          <w:trHeight w:val="530"/>
        </w:trPr>
        <w:tc>
          <w:tcPr>
            <w:tcW w:w="1908" w:type="dxa"/>
            <w:vAlign w:val="bottom"/>
          </w:tcPr>
          <w:p w14:paraId="4DC3A586" w14:textId="77777777" w:rsidR="000546F5" w:rsidRPr="000546F5" w:rsidRDefault="000546F5" w:rsidP="000546F5">
            <w:pPr>
              <w:jc w:val="right"/>
              <w:rPr>
                <w:sz w:val="28"/>
                <w:szCs w:val="28"/>
              </w:rPr>
            </w:pPr>
            <w:r w:rsidRPr="000546F5">
              <w:rPr>
                <w:sz w:val="28"/>
                <w:szCs w:val="28"/>
              </w:rPr>
              <w:t>ZIP</w:t>
            </w:r>
          </w:p>
        </w:tc>
        <w:tc>
          <w:tcPr>
            <w:tcW w:w="7668" w:type="dxa"/>
            <w:tcBorders>
              <w:top w:val="single" w:sz="4" w:space="0" w:color="auto"/>
              <w:bottom w:val="single" w:sz="4" w:space="0" w:color="auto"/>
            </w:tcBorders>
          </w:tcPr>
          <w:p w14:paraId="65B1E789" w14:textId="77777777" w:rsidR="000546F5" w:rsidRDefault="000546F5"/>
        </w:tc>
      </w:tr>
      <w:tr w:rsidR="000546F5" w14:paraId="27D451D7" w14:textId="77777777" w:rsidTr="00105F46">
        <w:trPr>
          <w:trHeight w:val="539"/>
        </w:trPr>
        <w:tc>
          <w:tcPr>
            <w:tcW w:w="1908" w:type="dxa"/>
            <w:vAlign w:val="bottom"/>
          </w:tcPr>
          <w:p w14:paraId="752B7F99" w14:textId="77777777" w:rsidR="000546F5" w:rsidRPr="000546F5" w:rsidRDefault="000546F5" w:rsidP="000546F5">
            <w:pPr>
              <w:jc w:val="right"/>
              <w:rPr>
                <w:sz w:val="28"/>
                <w:szCs w:val="28"/>
              </w:rPr>
            </w:pPr>
            <w:r w:rsidRPr="000546F5">
              <w:rPr>
                <w:sz w:val="28"/>
                <w:szCs w:val="28"/>
              </w:rPr>
              <w:t>Email Address</w:t>
            </w:r>
          </w:p>
        </w:tc>
        <w:tc>
          <w:tcPr>
            <w:tcW w:w="7668" w:type="dxa"/>
            <w:tcBorders>
              <w:top w:val="single" w:sz="4" w:space="0" w:color="auto"/>
              <w:bottom w:val="single" w:sz="4" w:space="0" w:color="auto"/>
            </w:tcBorders>
          </w:tcPr>
          <w:p w14:paraId="20CB06E5" w14:textId="77777777" w:rsidR="000546F5" w:rsidRDefault="000546F5"/>
        </w:tc>
      </w:tr>
      <w:tr w:rsidR="000546F5" w14:paraId="07DB254B" w14:textId="77777777" w:rsidTr="00105F46">
        <w:trPr>
          <w:trHeight w:val="530"/>
        </w:trPr>
        <w:tc>
          <w:tcPr>
            <w:tcW w:w="1908" w:type="dxa"/>
            <w:vAlign w:val="bottom"/>
          </w:tcPr>
          <w:p w14:paraId="175465FF" w14:textId="77777777" w:rsidR="000546F5" w:rsidRPr="000546F5" w:rsidRDefault="000546F5" w:rsidP="000546F5">
            <w:pPr>
              <w:jc w:val="right"/>
              <w:rPr>
                <w:sz w:val="28"/>
                <w:szCs w:val="28"/>
              </w:rPr>
            </w:pPr>
            <w:r w:rsidRPr="000546F5">
              <w:rPr>
                <w:sz w:val="28"/>
                <w:szCs w:val="28"/>
              </w:rPr>
              <w:t>Phone</w:t>
            </w:r>
          </w:p>
        </w:tc>
        <w:tc>
          <w:tcPr>
            <w:tcW w:w="7668" w:type="dxa"/>
            <w:tcBorders>
              <w:top w:val="single" w:sz="4" w:space="0" w:color="auto"/>
              <w:bottom w:val="single" w:sz="4" w:space="0" w:color="auto"/>
            </w:tcBorders>
          </w:tcPr>
          <w:p w14:paraId="1BD9A6A7" w14:textId="77777777" w:rsidR="000546F5" w:rsidRDefault="000546F5"/>
        </w:tc>
      </w:tr>
    </w:tbl>
    <w:p w14:paraId="6FFF7A06" w14:textId="77777777" w:rsidR="009D0F7B" w:rsidRDefault="009D0F7B"/>
    <w:sectPr w:rsidR="009D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26"/>
    <w:rsid w:val="000546F5"/>
    <w:rsid w:val="00105F46"/>
    <w:rsid w:val="002D49D9"/>
    <w:rsid w:val="00412F8E"/>
    <w:rsid w:val="004F2439"/>
    <w:rsid w:val="007840AA"/>
    <w:rsid w:val="00976D93"/>
    <w:rsid w:val="009D0F7B"/>
    <w:rsid w:val="00A73738"/>
    <w:rsid w:val="00C1763C"/>
    <w:rsid w:val="00E13C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3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26"/>
    <w:rPr>
      <w:rFonts w:ascii="Tahoma" w:hAnsi="Tahoma" w:cs="Tahoma"/>
      <w:sz w:val="16"/>
      <w:szCs w:val="16"/>
    </w:rPr>
  </w:style>
  <w:style w:type="table" w:styleId="TableGrid">
    <w:name w:val="Table Grid"/>
    <w:basedOn w:val="TableNormal"/>
    <w:uiPriority w:val="59"/>
    <w:rsid w:val="00E1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5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85990">
      <w:bodyDiv w:val="1"/>
      <w:marLeft w:val="0"/>
      <w:marRight w:val="0"/>
      <w:marTop w:val="0"/>
      <w:marBottom w:val="0"/>
      <w:divBdr>
        <w:top w:val="none" w:sz="0" w:space="0" w:color="auto"/>
        <w:left w:val="none" w:sz="0" w:space="0" w:color="auto"/>
        <w:bottom w:val="none" w:sz="0" w:space="0" w:color="auto"/>
        <w:right w:val="none" w:sz="0" w:space="0" w:color="auto"/>
      </w:divBdr>
    </w:div>
    <w:div w:id="19966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Jackson</dc:creator>
  <cp:lastModifiedBy>Edible Nutmeg</cp:lastModifiedBy>
  <cp:revision>3</cp:revision>
  <dcterms:created xsi:type="dcterms:W3CDTF">2016-02-03T18:47:00Z</dcterms:created>
  <dcterms:modified xsi:type="dcterms:W3CDTF">2016-12-06T14:11:00Z</dcterms:modified>
</cp:coreProperties>
</file>